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7C" w:rsidRPr="006C7113" w:rsidRDefault="0030357C" w:rsidP="00147E09">
      <w:pPr>
        <w:rPr>
          <w:rFonts w:cs="Times New Roman"/>
          <w:b/>
          <w:sz w:val="24"/>
          <w:szCs w:val="24"/>
          <w:lang w:val="en-US"/>
        </w:rPr>
      </w:pPr>
      <w:r w:rsidRPr="00147E09">
        <w:rPr>
          <w:rFonts w:cs="Times New Roman"/>
          <w:b/>
          <w:sz w:val="36"/>
          <w:szCs w:val="36"/>
          <w:u w:val="single"/>
          <w:lang w:val="en-US"/>
        </w:rPr>
        <w:t xml:space="preserve">Teaching/training program </w:t>
      </w:r>
      <w:r w:rsidR="006A29E6" w:rsidRPr="00147E09">
        <w:rPr>
          <w:rFonts w:cs="Times New Roman"/>
          <w:b/>
          <w:sz w:val="36"/>
          <w:szCs w:val="36"/>
          <w:u w:val="single"/>
          <w:lang w:val="en-US"/>
        </w:rPr>
        <w:t>in instrumental analysis</w:t>
      </w:r>
      <w:r w:rsidR="00147E09">
        <w:rPr>
          <w:rFonts w:cs="Times New Roman"/>
          <w:b/>
          <w:sz w:val="24"/>
          <w:szCs w:val="24"/>
          <w:lang w:val="en-US"/>
        </w:rPr>
        <w:t xml:space="preserve"> </w:t>
      </w:r>
      <w:r w:rsidR="00147E09">
        <w:rPr>
          <w:rFonts w:cs="Times New Roman"/>
          <w:b/>
          <w:sz w:val="24"/>
          <w:szCs w:val="24"/>
          <w:lang w:val="en-US"/>
        </w:rPr>
        <w:br/>
      </w:r>
      <w:r w:rsidR="00147E09" w:rsidRPr="00147E09">
        <w:rPr>
          <w:rFonts w:cs="Times New Roman"/>
          <w:b/>
          <w:sz w:val="24"/>
          <w:szCs w:val="24"/>
          <w:u w:val="single"/>
          <w:lang w:val="en-US"/>
        </w:rPr>
        <w:t>Term:</w:t>
      </w:r>
      <w:r w:rsidR="00147E09">
        <w:rPr>
          <w:rFonts w:cs="Times New Roman"/>
          <w:b/>
          <w:sz w:val="24"/>
          <w:szCs w:val="24"/>
          <w:lang w:val="en-US"/>
        </w:rPr>
        <w:t xml:space="preserve">   </w:t>
      </w:r>
      <w:r w:rsidR="00147E09" w:rsidRPr="00147E09">
        <w:rPr>
          <w:rFonts w:cs="Times New Roman"/>
          <w:sz w:val="24"/>
          <w:szCs w:val="24"/>
          <w:lang w:val="en-US"/>
        </w:rPr>
        <w:t>from</w:t>
      </w:r>
      <w:r w:rsidR="00147E09">
        <w:rPr>
          <w:rFonts w:cs="Times New Roman"/>
          <w:b/>
          <w:sz w:val="24"/>
          <w:szCs w:val="24"/>
          <w:lang w:val="en-US"/>
        </w:rPr>
        <w:t xml:space="preserve"> 15.07.2019 </w:t>
      </w:r>
      <w:r w:rsidR="00147E09" w:rsidRPr="00147E09">
        <w:rPr>
          <w:rFonts w:cs="Times New Roman"/>
          <w:sz w:val="24"/>
          <w:szCs w:val="24"/>
          <w:lang w:val="en-US"/>
        </w:rPr>
        <w:t xml:space="preserve">to </w:t>
      </w:r>
      <w:r w:rsidR="00147E09">
        <w:rPr>
          <w:rFonts w:cs="Times New Roman"/>
          <w:b/>
          <w:sz w:val="24"/>
          <w:szCs w:val="24"/>
          <w:lang w:val="en-US"/>
        </w:rPr>
        <w:t>6.09</w:t>
      </w:r>
      <w:r w:rsidR="00147E09" w:rsidRPr="00147E09">
        <w:rPr>
          <w:rFonts w:cs="Times New Roman"/>
          <w:b/>
          <w:sz w:val="24"/>
          <w:szCs w:val="24"/>
          <w:lang w:val="en-US"/>
        </w:rPr>
        <w:t>.2019</w:t>
      </w:r>
      <w:r w:rsidR="00147E09">
        <w:rPr>
          <w:rFonts w:cs="Times New Roman"/>
          <w:b/>
          <w:sz w:val="24"/>
          <w:szCs w:val="24"/>
          <w:lang w:val="en-US"/>
        </w:rPr>
        <w:br/>
      </w:r>
      <w:r w:rsidR="00147E09" w:rsidRPr="00147E09">
        <w:rPr>
          <w:rFonts w:cs="Times New Roman"/>
          <w:b/>
          <w:sz w:val="24"/>
          <w:szCs w:val="24"/>
          <w:u w:val="single"/>
          <w:lang w:val="en-US"/>
        </w:rPr>
        <w:t>Place:</w:t>
      </w:r>
      <w:r w:rsidR="00147E09" w:rsidRPr="00147E09">
        <w:rPr>
          <w:rFonts w:cs="Times New Roman"/>
          <w:b/>
          <w:sz w:val="24"/>
          <w:szCs w:val="24"/>
          <w:lang w:val="en-US"/>
        </w:rPr>
        <w:t xml:space="preserve">  The East European state university in </w:t>
      </w:r>
      <w:proofErr w:type="spellStart"/>
      <w:r w:rsidR="00147E09" w:rsidRPr="00147E09">
        <w:rPr>
          <w:rFonts w:cs="Times New Roman"/>
          <w:b/>
          <w:sz w:val="24"/>
          <w:szCs w:val="24"/>
          <w:lang w:val="en-US"/>
        </w:rPr>
        <w:t>Przemyśl</w:t>
      </w:r>
      <w:proofErr w:type="spellEnd"/>
      <w:r w:rsidR="00147E09">
        <w:rPr>
          <w:rFonts w:cs="Times New Roman"/>
          <w:b/>
          <w:sz w:val="24"/>
          <w:szCs w:val="24"/>
          <w:lang w:val="en-US"/>
        </w:rPr>
        <w:t xml:space="preserve"> (PWSW)</w:t>
      </w:r>
    </w:p>
    <w:p w:rsidR="00213C0D" w:rsidRDefault="00952992" w:rsidP="00213C0D">
      <w:pPr>
        <w:jc w:val="both"/>
        <w:rPr>
          <w:rFonts w:cs="Times New Roman"/>
          <w:sz w:val="24"/>
          <w:szCs w:val="24"/>
          <w:lang w:val="en-US"/>
        </w:rPr>
      </w:pPr>
      <w:r w:rsidRPr="00BA3E23">
        <w:rPr>
          <w:rFonts w:cs="Times New Roman"/>
          <w:sz w:val="24"/>
          <w:szCs w:val="24"/>
          <w:lang w:val="en-US"/>
        </w:rPr>
        <w:t xml:space="preserve">The course will provide exposure to </w:t>
      </w:r>
      <w:r w:rsidR="000F3519" w:rsidRPr="00BA3E23">
        <w:rPr>
          <w:rFonts w:cs="Times New Roman"/>
          <w:sz w:val="24"/>
          <w:szCs w:val="24"/>
          <w:lang w:val="en-US"/>
        </w:rPr>
        <w:t xml:space="preserve">some instrumental techniques </w:t>
      </w:r>
      <w:r w:rsidR="006F5F2E" w:rsidRPr="00BA3E23">
        <w:rPr>
          <w:rStyle w:val="tlid-translation"/>
          <w:rFonts w:cs="Times New Roman"/>
          <w:sz w:val="24"/>
          <w:szCs w:val="24"/>
          <w:lang w:val="en-US"/>
        </w:rPr>
        <w:t>emphasizing</w:t>
      </w:r>
      <w:r w:rsidR="009B5FB6" w:rsidRPr="00BA3E23">
        <w:rPr>
          <w:rFonts w:cs="Times New Roman"/>
          <w:sz w:val="24"/>
          <w:szCs w:val="24"/>
          <w:lang w:val="en-US"/>
        </w:rPr>
        <w:t xml:space="preserve"> </w:t>
      </w:r>
      <w:r w:rsidRPr="00BA3E23">
        <w:rPr>
          <w:rFonts w:cs="Times New Roman"/>
          <w:sz w:val="24"/>
          <w:szCs w:val="24"/>
          <w:lang w:val="en-US"/>
        </w:rPr>
        <w:t xml:space="preserve"> practical aspects </w:t>
      </w:r>
      <w:r w:rsidR="002E0337" w:rsidRPr="00BA3E23">
        <w:rPr>
          <w:rFonts w:cs="Times New Roman"/>
          <w:sz w:val="24"/>
          <w:szCs w:val="24"/>
          <w:lang w:val="en-US"/>
        </w:rPr>
        <w:t xml:space="preserve">of </w:t>
      </w:r>
      <w:r w:rsidR="001C759B" w:rsidRPr="00BA3E23">
        <w:rPr>
          <w:rFonts w:cs="Times New Roman"/>
          <w:sz w:val="24"/>
          <w:szCs w:val="24"/>
          <w:lang w:val="en-US"/>
        </w:rPr>
        <w:t xml:space="preserve">chemical </w:t>
      </w:r>
      <w:r w:rsidR="002E0337" w:rsidRPr="00BA3E23">
        <w:rPr>
          <w:rFonts w:cs="Times New Roman"/>
          <w:sz w:val="24"/>
          <w:szCs w:val="24"/>
          <w:lang w:val="en-US"/>
        </w:rPr>
        <w:t xml:space="preserve">analysis </w:t>
      </w:r>
      <w:r w:rsidR="001C759B" w:rsidRPr="00BA3E23">
        <w:rPr>
          <w:rFonts w:cs="Times New Roman"/>
          <w:sz w:val="24"/>
          <w:szCs w:val="24"/>
          <w:lang w:val="en-US"/>
        </w:rPr>
        <w:t xml:space="preserve">for </w:t>
      </w:r>
      <w:r w:rsidRPr="00BA3E23">
        <w:rPr>
          <w:rFonts w:cs="Times New Roman"/>
          <w:sz w:val="24"/>
          <w:szCs w:val="24"/>
          <w:lang w:val="en-US"/>
        </w:rPr>
        <w:t>beginners</w:t>
      </w:r>
      <w:r w:rsidR="00213C0D">
        <w:rPr>
          <w:rFonts w:cs="Times New Roman"/>
          <w:sz w:val="24"/>
          <w:szCs w:val="24"/>
          <w:lang w:val="en-US"/>
        </w:rPr>
        <w:t>.</w:t>
      </w:r>
    </w:p>
    <w:p w:rsidR="006E03C1" w:rsidRPr="00BA3E23" w:rsidRDefault="006E03C1" w:rsidP="00213C0D">
      <w:pPr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BA3E23">
        <w:rPr>
          <w:rFonts w:cs="Times New Roman"/>
          <w:sz w:val="24"/>
          <w:szCs w:val="24"/>
          <w:lang w:val="en-US"/>
        </w:rPr>
        <w:t xml:space="preserve">The program which forms the foundation of analytical chemistry is </w:t>
      </w:r>
      <w:r w:rsidR="00147E09">
        <w:rPr>
          <w:rFonts w:cs="Times New Roman"/>
          <w:sz w:val="24"/>
          <w:szCs w:val="24"/>
          <w:lang w:val="en-US"/>
        </w:rPr>
        <w:t xml:space="preserve">compulsory </w:t>
      </w:r>
      <w:r w:rsidRPr="00BA3E23">
        <w:rPr>
          <w:rFonts w:cs="Times New Roman"/>
          <w:sz w:val="24"/>
          <w:szCs w:val="24"/>
          <w:lang w:val="en-US"/>
        </w:rPr>
        <w:t xml:space="preserve">for </w:t>
      </w:r>
      <w:r w:rsidR="00147E09">
        <w:rPr>
          <w:rFonts w:cs="Times New Roman"/>
          <w:sz w:val="24"/>
          <w:szCs w:val="24"/>
          <w:lang w:val="en-US"/>
        </w:rPr>
        <w:t>everyone who is serious about</w:t>
      </w:r>
      <w:r w:rsidRPr="00BA3E23">
        <w:rPr>
          <w:rFonts w:cs="Times New Roman"/>
          <w:sz w:val="24"/>
          <w:szCs w:val="24"/>
          <w:lang w:val="en-US"/>
        </w:rPr>
        <w:t xml:space="preserve"> gaining </w:t>
      </w:r>
      <w:r w:rsidR="00147E09">
        <w:rPr>
          <w:rFonts w:cs="Times New Roman"/>
          <w:sz w:val="24"/>
          <w:szCs w:val="24"/>
          <w:lang w:val="en-US"/>
        </w:rPr>
        <w:t xml:space="preserve">an </w:t>
      </w:r>
      <w:r w:rsidRPr="00BA3E23">
        <w:rPr>
          <w:rFonts w:cs="Times New Roman"/>
          <w:sz w:val="24"/>
          <w:szCs w:val="24"/>
          <w:lang w:val="en-US"/>
        </w:rPr>
        <w:t>entry</w:t>
      </w:r>
      <w:r w:rsidR="00147E09">
        <w:rPr>
          <w:rFonts w:cs="Times New Roman"/>
          <w:sz w:val="24"/>
          <w:szCs w:val="24"/>
          <w:lang w:val="en-US"/>
        </w:rPr>
        <w:t xml:space="preserve"> to the</w:t>
      </w:r>
      <w:r w:rsidRPr="00BA3E23">
        <w:rPr>
          <w:rFonts w:cs="Times New Roman"/>
          <w:sz w:val="24"/>
          <w:szCs w:val="24"/>
          <w:lang w:val="en-US"/>
        </w:rPr>
        <w:t xml:space="preserve"> industrial laboratories or academic research</w:t>
      </w:r>
      <w:r w:rsidR="00147E09">
        <w:rPr>
          <w:rFonts w:cs="Times New Roman"/>
          <w:sz w:val="24"/>
          <w:szCs w:val="24"/>
          <w:lang w:val="en-US"/>
        </w:rPr>
        <w:t>es</w:t>
      </w:r>
      <w:r w:rsidRPr="00BA3E23">
        <w:rPr>
          <w:rFonts w:cs="Times New Roman"/>
          <w:sz w:val="24"/>
          <w:szCs w:val="24"/>
          <w:lang w:val="en-US"/>
        </w:rPr>
        <w:t xml:space="preserve">. </w:t>
      </w:r>
      <w:r w:rsidRPr="00BA3E23">
        <w:rPr>
          <w:rStyle w:val="Pogrubienie"/>
          <w:rFonts w:cs="Times New Roman"/>
          <w:b w:val="0"/>
          <w:sz w:val="24"/>
          <w:szCs w:val="24"/>
          <w:lang w:val="en-US"/>
        </w:rPr>
        <w:t xml:space="preserve">The program will be beneficial to </w:t>
      </w:r>
      <w:r w:rsidRPr="00BA3E23">
        <w:rPr>
          <w:rFonts w:eastAsia="Times New Roman" w:cs="Times New Roman"/>
          <w:sz w:val="24"/>
          <w:szCs w:val="24"/>
          <w:lang w:val="en-US" w:eastAsia="pl-PL"/>
        </w:rPr>
        <w:t xml:space="preserve">students in </w:t>
      </w:r>
      <w:r w:rsidR="00147E09">
        <w:rPr>
          <w:rFonts w:eastAsia="Times New Roman" w:cs="Times New Roman"/>
          <w:sz w:val="24"/>
          <w:szCs w:val="24"/>
          <w:lang w:val="en-US" w:eastAsia="pl-PL"/>
        </w:rPr>
        <w:t xml:space="preserve">such </w:t>
      </w:r>
      <w:r w:rsidRPr="00BA3E23">
        <w:rPr>
          <w:rFonts w:eastAsia="Times New Roman" w:cs="Times New Roman"/>
          <w:sz w:val="24"/>
          <w:szCs w:val="24"/>
          <w:lang w:val="en-US" w:eastAsia="pl-PL"/>
        </w:rPr>
        <w:t>disciplines</w:t>
      </w:r>
      <w:r w:rsidR="00147E09">
        <w:rPr>
          <w:rFonts w:eastAsia="Times New Roman" w:cs="Times New Roman"/>
          <w:sz w:val="24"/>
          <w:szCs w:val="24"/>
          <w:lang w:val="en-US" w:eastAsia="pl-PL"/>
        </w:rPr>
        <w:t>, as</w:t>
      </w:r>
      <w:r w:rsidRPr="00BA3E23">
        <w:rPr>
          <w:rFonts w:eastAsia="Times New Roman" w:cs="Times New Roman"/>
          <w:sz w:val="24"/>
          <w:szCs w:val="24"/>
          <w:lang w:val="en-US" w:eastAsia="pl-PL"/>
        </w:rPr>
        <w:t>:</w:t>
      </w:r>
    </w:p>
    <w:p w:rsidR="006E03C1" w:rsidRPr="00BA3E23" w:rsidRDefault="006E03C1" w:rsidP="00213C0D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US"/>
        </w:rPr>
      </w:pPr>
      <w:r w:rsidRPr="00BA3E23">
        <w:rPr>
          <w:rFonts w:eastAsia="Times New Roman" w:cs="Times New Roman"/>
          <w:sz w:val="24"/>
          <w:szCs w:val="24"/>
          <w:lang w:val="en-US" w:eastAsia="pl-PL"/>
        </w:rPr>
        <w:t xml:space="preserve">Chemistry, </w:t>
      </w:r>
    </w:p>
    <w:p w:rsidR="006E03C1" w:rsidRPr="00BA3E23" w:rsidRDefault="006E03C1" w:rsidP="00213C0D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US"/>
        </w:rPr>
      </w:pPr>
      <w:r w:rsidRPr="00BA3E23">
        <w:rPr>
          <w:rFonts w:eastAsia="Times New Roman" w:cs="Times New Roman"/>
          <w:sz w:val="24"/>
          <w:szCs w:val="24"/>
          <w:lang w:val="en-US" w:eastAsia="pl-PL"/>
        </w:rPr>
        <w:t>Food &amp; Nutrition and Agricultural Sciences</w:t>
      </w:r>
      <w:r w:rsidR="00147E09">
        <w:rPr>
          <w:rFonts w:eastAsia="Times New Roman" w:cs="Times New Roman"/>
          <w:sz w:val="24"/>
          <w:szCs w:val="24"/>
          <w:lang w:val="en-US" w:eastAsia="pl-PL"/>
        </w:rPr>
        <w:t>,</w:t>
      </w:r>
    </w:p>
    <w:p w:rsidR="001766D9" w:rsidRPr="00147E09" w:rsidRDefault="006E03C1" w:rsidP="00213C0D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US"/>
        </w:rPr>
      </w:pPr>
      <w:r w:rsidRPr="00BA3E23">
        <w:rPr>
          <w:rFonts w:eastAsia="Times New Roman" w:cs="Times New Roman"/>
          <w:sz w:val="24"/>
          <w:szCs w:val="24"/>
          <w:lang w:val="en-US" w:eastAsia="pl-PL"/>
        </w:rPr>
        <w:t>Environmental Protection</w:t>
      </w:r>
      <w:r w:rsidR="00147E09">
        <w:rPr>
          <w:rFonts w:eastAsia="Times New Roman" w:cs="Times New Roman"/>
          <w:sz w:val="24"/>
          <w:szCs w:val="24"/>
          <w:lang w:val="en-US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5"/>
        <w:gridCol w:w="2506"/>
        <w:gridCol w:w="14"/>
        <w:gridCol w:w="1653"/>
      </w:tblGrid>
      <w:tr w:rsidR="002E3FED" w:rsidRPr="00213C0D" w:rsidTr="00442B5E">
        <w:tc>
          <w:tcPr>
            <w:tcW w:w="7621" w:type="dxa"/>
            <w:gridSpan w:val="2"/>
          </w:tcPr>
          <w:p w:rsidR="002E3FED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2E3FED" w:rsidRPr="00D3536A" w:rsidRDefault="002E3FED" w:rsidP="00442B5E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3536A">
              <w:rPr>
                <w:rFonts w:cs="Times New Roman"/>
                <w:b/>
                <w:sz w:val="24"/>
                <w:szCs w:val="24"/>
                <w:lang w:val="en-US"/>
              </w:rPr>
              <w:t>I. Flame Atomic Absorption (FAAS)</w:t>
            </w:r>
          </w:p>
          <w:p w:rsidR="002E3FED" w:rsidRPr="00BA3E23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2E3FED" w:rsidRPr="00442B5E" w:rsidRDefault="00442B5E" w:rsidP="00442B5E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Week</w:t>
            </w:r>
          </w:p>
        </w:tc>
      </w:tr>
      <w:tr w:rsidR="002E3FED" w:rsidRPr="00BA3E23" w:rsidTr="00442B5E">
        <w:tc>
          <w:tcPr>
            <w:tcW w:w="7621" w:type="dxa"/>
            <w:gridSpan w:val="2"/>
          </w:tcPr>
          <w:p w:rsidR="002E3FED" w:rsidRPr="00BA3E23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Training will cover:</w:t>
            </w:r>
          </w:p>
          <w:p w:rsidR="002E3FED" w:rsidRPr="00BA3E23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Principle and theoretical background of the flame atomization method (repetition).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Practical familiarization with the construction of the GBC / FAAS atomic spectrometer.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Spectrophotometer components: hollow cathode lamp (HCL), clou</w:t>
            </w:r>
            <w:r w:rsidR="00147E09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d chamber with slit burner.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Notes on component</w:t>
            </w:r>
            <w:r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s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maintenance and equipment cleaning. Installation and posi</w:t>
            </w:r>
            <w:r w:rsidR="00147E09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tioning of the slit burner.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Getting to know the spectrometer software for the flam</w:t>
            </w:r>
            <w:r w:rsidR="00147E09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e method  (English version).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Start-up notes. Safety precautions for running of the AA spectrophotometer.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Notes on the working gases purity, pressure settings, flame composition and optimization.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Safe shutdown </w:t>
            </w:r>
            <w:r w:rsidR="00147E09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and restoration 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of t</w:t>
            </w:r>
            <w:r w:rsidR="00147E09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he equipment.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Practical aspects of the measurement: 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Sample preparation for the FAAS method. 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Calibration. Linear and nonlinear calibration models in action.</w:t>
            </w:r>
          </w:p>
          <w:p w:rsidR="002E3FED" w:rsidRPr="00BA3E23" w:rsidRDefault="002E3FED" w:rsidP="00147E0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Collecting and presentation of the results. Range of linearity, limit of detection and limit of quantification. </w:t>
            </w:r>
          </w:p>
        </w:tc>
        <w:tc>
          <w:tcPr>
            <w:tcW w:w="1667" w:type="dxa"/>
            <w:gridSpan w:val="2"/>
          </w:tcPr>
          <w:p w:rsidR="00442B5E" w:rsidRPr="00442B5E" w:rsidRDefault="00442B5E" w:rsidP="00442B5E">
            <w:pPr>
              <w:jc w:val="both"/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</w:pPr>
            <w:r w:rsidRPr="00442B5E"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  <w:t>1-2</w:t>
            </w:r>
          </w:p>
          <w:p w:rsidR="00EC1C12" w:rsidRPr="00442B5E" w:rsidRDefault="00442B5E" w:rsidP="00442B5E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br/>
            </w: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(15.07.2019-26.07.2019)</w:t>
            </w:r>
          </w:p>
        </w:tc>
      </w:tr>
      <w:tr w:rsidR="00442B5E" w:rsidRPr="00D225A3" w:rsidTr="00442B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115" w:type="dxa"/>
          <w:trHeight w:val="660"/>
        </w:trPr>
        <w:tc>
          <w:tcPr>
            <w:tcW w:w="2520" w:type="dxa"/>
            <w:gridSpan w:val="2"/>
          </w:tcPr>
          <w:p w:rsidR="00442B5E" w:rsidRPr="00D225A3" w:rsidRDefault="00D225A3" w:rsidP="00442B5E">
            <w:pPr>
              <w:jc w:val="both"/>
              <w:rPr>
                <w:i/>
                <w:u w:val="single"/>
                <w:lang w:val="en-US"/>
              </w:rPr>
            </w:pPr>
            <w:r w:rsidRPr="00D225A3">
              <w:rPr>
                <w:i/>
                <w:u w:val="single"/>
                <w:lang w:val="en-US"/>
              </w:rPr>
              <w:t>expected hours to be implemented</w:t>
            </w:r>
          </w:p>
        </w:tc>
        <w:tc>
          <w:tcPr>
            <w:tcW w:w="1653" w:type="dxa"/>
          </w:tcPr>
          <w:p w:rsidR="00442B5E" w:rsidRPr="00D225A3" w:rsidRDefault="00D225A3" w:rsidP="00442B5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</w:tbl>
    <w:p w:rsidR="00530CA8" w:rsidRPr="00D225A3" w:rsidRDefault="00530CA8" w:rsidP="00213C0D">
      <w:pPr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9"/>
        <w:gridCol w:w="2161"/>
        <w:gridCol w:w="1668"/>
      </w:tblGrid>
      <w:tr w:rsidR="002E3FED" w:rsidRPr="00145B89" w:rsidTr="00442B5E">
        <w:tc>
          <w:tcPr>
            <w:tcW w:w="7621" w:type="dxa"/>
            <w:gridSpan w:val="2"/>
          </w:tcPr>
          <w:p w:rsidR="002E3FED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2E3FED" w:rsidRPr="00D3536A" w:rsidRDefault="002E3FED" w:rsidP="00442B5E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3536A">
              <w:rPr>
                <w:rFonts w:cs="Times New Roman"/>
                <w:b/>
                <w:sz w:val="24"/>
                <w:szCs w:val="24"/>
                <w:lang w:val="en-US"/>
              </w:rPr>
              <w:t xml:space="preserve">II. Graphite Furnace Atomic Absorption </w:t>
            </w:r>
            <w:r w:rsidR="00D225A3" w:rsidRPr="00D3536A">
              <w:rPr>
                <w:rFonts w:cs="Times New Roman"/>
                <w:b/>
                <w:sz w:val="24"/>
                <w:szCs w:val="24"/>
                <w:lang w:val="en-US"/>
              </w:rPr>
              <w:t>Spectrophotometry</w:t>
            </w:r>
            <w:r w:rsidRPr="00D3536A">
              <w:rPr>
                <w:rFonts w:cs="Times New Roman"/>
                <w:b/>
                <w:sz w:val="24"/>
                <w:szCs w:val="24"/>
                <w:lang w:val="en-US"/>
              </w:rPr>
              <w:t xml:space="preserve"> (GFAAS)</w:t>
            </w:r>
          </w:p>
          <w:p w:rsidR="002E3FED" w:rsidRPr="00BA3E23" w:rsidRDefault="002E3FED" w:rsidP="00442B5E">
            <w:pPr>
              <w:spacing w:before="2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2E3FED" w:rsidRPr="00442B5E" w:rsidRDefault="00442B5E" w:rsidP="00442B5E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Week</w:t>
            </w:r>
          </w:p>
        </w:tc>
      </w:tr>
      <w:tr w:rsidR="002E3FED" w:rsidRPr="00145B89" w:rsidTr="00442B5E">
        <w:tc>
          <w:tcPr>
            <w:tcW w:w="7621" w:type="dxa"/>
            <w:gridSpan w:val="2"/>
          </w:tcPr>
          <w:p w:rsidR="002E3FED" w:rsidRPr="00BA3E23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Training will cover:</w:t>
            </w:r>
          </w:p>
          <w:p w:rsidR="002E3FED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Principle and theoretical background of the electro</w:t>
            </w:r>
            <w:r w:rsidR="00147E09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BA3E23">
              <w:rPr>
                <w:rFonts w:cs="Times New Roman"/>
                <w:sz w:val="24"/>
                <w:szCs w:val="24"/>
                <w:lang w:val="en-US"/>
              </w:rPr>
              <w:t>thermal atomization method (repetition).</w:t>
            </w:r>
            <w:r w:rsidR="00147E09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Installation of the AAS - GBC </w:t>
            </w:r>
            <w:r w:rsidR="00D225A3"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 sampler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. Positioning of the </w:t>
            </w:r>
            <w:r w:rsidR="00D225A3"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 sampler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before measurement.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Practical aspects of operation, cleaning and maintenance of the measuring system.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Construction and operation of the graphite furnace – technical details. Graphite cuvette installation and furnace chamber cleaning.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GBC software for the </w:t>
            </w:r>
            <w:r w:rsidR="00D225A3"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electro thermal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(ETH) method.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The graphite furnace heating program, programming and modification of GF operational  parameters.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Programming the </w:t>
            </w:r>
            <w:r w:rsidR="00D225A3"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 sampler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. Sample queue and automatic sample dilution. 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Practical aspects of sample preparation for GFAAS analysis, mineralization and pre</w:t>
            </w:r>
            <w:r w:rsidR="00D225A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-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concentration of samples. Safety precautions for starting and  stopping the GFAA spectrophotometer.</w:t>
            </w:r>
          </w:p>
          <w:p w:rsidR="002E3FED" w:rsidRPr="00BA3E23" w:rsidRDefault="002E3FED" w:rsidP="00442B5E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As part of the internship, students will be involved in the work on the determination of trace amounts of selected heavy metals in water.</w:t>
            </w:r>
          </w:p>
          <w:p w:rsidR="002E3FED" w:rsidRPr="00BA3E23" w:rsidRDefault="002E3FED" w:rsidP="00442B5E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2E3FED" w:rsidRDefault="00442B5E" w:rsidP="00442B5E">
            <w:pPr>
              <w:jc w:val="both"/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</w:pPr>
            <w:r w:rsidRPr="00442B5E"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  <w:t>2-3</w:t>
            </w:r>
          </w:p>
          <w:p w:rsidR="00442B5E" w:rsidRDefault="00442B5E" w:rsidP="00442B5E">
            <w:pPr>
              <w:jc w:val="both"/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</w:pPr>
          </w:p>
          <w:p w:rsidR="00442B5E" w:rsidRPr="00442B5E" w:rsidRDefault="00442B5E" w:rsidP="00442B5E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(29.07.2019-10.08.2019)</w:t>
            </w:r>
          </w:p>
        </w:tc>
      </w:tr>
      <w:tr w:rsidR="00442B5E" w:rsidTr="00442B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60" w:type="dxa"/>
          <w:trHeight w:val="720"/>
        </w:trPr>
        <w:tc>
          <w:tcPr>
            <w:tcW w:w="2160" w:type="dxa"/>
          </w:tcPr>
          <w:p w:rsidR="00442B5E" w:rsidRDefault="00D225A3" w:rsidP="00442B5E">
            <w:pPr>
              <w:jc w:val="both"/>
              <w:rPr>
                <w:lang w:val="en-US"/>
              </w:rPr>
            </w:pPr>
            <w:r w:rsidRPr="00D225A3">
              <w:rPr>
                <w:i/>
                <w:u w:val="single"/>
                <w:lang w:val="en-US"/>
              </w:rPr>
              <w:t>expected hours to be implemented</w:t>
            </w:r>
          </w:p>
        </w:tc>
        <w:tc>
          <w:tcPr>
            <w:tcW w:w="1668" w:type="dxa"/>
          </w:tcPr>
          <w:p w:rsidR="00442B5E" w:rsidRPr="00D225A3" w:rsidRDefault="00D225A3" w:rsidP="00442B5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</w:tbl>
    <w:p w:rsidR="0075593C" w:rsidRPr="00213C0D" w:rsidRDefault="0075593C" w:rsidP="00213C0D">
      <w:pPr>
        <w:jc w:val="both"/>
        <w:rPr>
          <w:lang w:val="en-US"/>
        </w:rPr>
      </w:pPr>
      <w:r w:rsidRPr="00213C0D">
        <w:rPr>
          <w:lang w:val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9"/>
        <w:gridCol w:w="2401"/>
        <w:gridCol w:w="1668"/>
      </w:tblGrid>
      <w:tr w:rsidR="002E3FED" w:rsidRPr="00145B89" w:rsidTr="00D225A3">
        <w:tc>
          <w:tcPr>
            <w:tcW w:w="7621" w:type="dxa"/>
            <w:gridSpan w:val="2"/>
          </w:tcPr>
          <w:p w:rsidR="002E3FED" w:rsidRDefault="002E3FED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2E3FED" w:rsidRPr="00D3536A" w:rsidRDefault="002E3FED" w:rsidP="00D225A3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3536A">
              <w:rPr>
                <w:rFonts w:cs="Times New Roman"/>
                <w:b/>
                <w:sz w:val="24"/>
                <w:szCs w:val="24"/>
                <w:lang w:val="en-US"/>
              </w:rPr>
              <w:t>III. High Performance Liquid Chromatography (HPLC)</w:t>
            </w:r>
          </w:p>
          <w:p w:rsidR="002E3FED" w:rsidRPr="00BA3E23" w:rsidRDefault="002E3FED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2E3FED" w:rsidRPr="00442B5E" w:rsidRDefault="00442B5E" w:rsidP="00D225A3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Week</w:t>
            </w:r>
          </w:p>
        </w:tc>
      </w:tr>
      <w:tr w:rsidR="002E3FED" w:rsidRPr="00145B89" w:rsidTr="00D225A3">
        <w:tc>
          <w:tcPr>
            <w:tcW w:w="7621" w:type="dxa"/>
            <w:gridSpan w:val="2"/>
          </w:tcPr>
          <w:p w:rsidR="002E3FED" w:rsidRPr="00BA3E23" w:rsidRDefault="002E3FED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Training will cover:</w:t>
            </w:r>
          </w:p>
          <w:p w:rsidR="002E3FED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Principles of operation and construction - main components of the Agilent 1200 HPLC chromatograph: pump, degasser,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autosampler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column and detector. </w:t>
            </w: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Normal and reverse phase chromatography. General rules for column and eluent selection for different types of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analytes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. Isocratic and gradient analysis. Purity of reagents used in HPLC analysis.</w:t>
            </w: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Introduction to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ChemStation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software (Agilent Technologies). </w:t>
            </w: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Creation and modification of methodologies for determination based on literature (scientific papers).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Autosampler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programming, selection of equipment parameters, remarks on optimization of the determination process. Creating a sequence of analyzes, short introduction to multi-level calibration.</w:t>
            </w: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Starting the HPLC chromatograph. Measuring and interpreting the results</w:t>
            </w: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The most common problems with an HPLC system. Troubleshooting.</w:t>
            </w:r>
          </w:p>
          <w:p w:rsidR="002E3FED" w:rsidRPr="00BA3E23" w:rsidRDefault="002E3FED" w:rsidP="00D225A3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Students will be involved in sample preparation and SPME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microextraction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/direct imme</w:t>
            </w:r>
            <w:bookmarkStart w:id="0" w:name="_GoBack"/>
            <w:bookmarkEnd w:id="0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rsion of test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analytes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7" w:type="dxa"/>
          </w:tcPr>
          <w:p w:rsidR="002E3FED" w:rsidRPr="00442B5E" w:rsidRDefault="00442B5E" w:rsidP="00D225A3">
            <w:pPr>
              <w:jc w:val="both"/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</w:pPr>
            <w:r w:rsidRPr="00442B5E"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  <w:t>5-6</w:t>
            </w:r>
          </w:p>
          <w:p w:rsidR="00442B5E" w:rsidRDefault="00442B5E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42B5E" w:rsidRPr="00442B5E" w:rsidRDefault="00442B5E" w:rsidP="00D225A3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(12.08.2019-23.08.2019)</w:t>
            </w:r>
          </w:p>
        </w:tc>
      </w:tr>
      <w:tr w:rsidR="00D225A3" w:rsidTr="00D225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220" w:type="dxa"/>
          <w:trHeight w:val="720"/>
        </w:trPr>
        <w:tc>
          <w:tcPr>
            <w:tcW w:w="2400" w:type="dxa"/>
          </w:tcPr>
          <w:p w:rsidR="00D225A3" w:rsidRDefault="00D225A3" w:rsidP="00D225A3">
            <w:pPr>
              <w:jc w:val="both"/>
              <w:rPr>
                <w:lang w:val="en-US"/>
              </w:rPr>
            </w:pPr>
            <w:r w:rsidRPr="00D225A3">
              <w:rPr>
                <w:i/>
                <w:u w:val="single"/>
                <w:lang w:val="en-US"/>
              </w:rPr>
              <w:t>expected hours to be implemented</w:t>
            </w:r>
          </w:p>
        </w:tc>
        <w:tc>
          <w:tcPr>
            <w:tcW w:w="1668" w:type="dxa"/>
          </w:tcPr>
          <w:p w:rsidR="00D225A3" w:rsidRPr="00D225A3" w:rsidRDefault="00D225A3" w:rsidP="00D225A3">
            <w:pPr>
              <w:jc w:val="both"/>
              <w:rPr>
                <w:b/>
                <w:lang w:val="en-US"/>
              </w:rPr>
            </w:pPr>
            <w:r w:rsidRPr="00D225A3">
              <w:rPr>
                <w:b/>
                <w:lang w:val="en-US"/>
              </w:rPr>
              <w:t>35</w:t>
            </w:r>
          </w:p>
        </w:tc>
      </w:tr>
    </w:tbl>
    <w:p w:rsidR="0075593C" w:rsidRPr="00213C0D" w:rsidRDefault="0075593C" w:rsidP="00213C0D">
      <w:pPr>
        <w:jc w:val="both"/>
        <w:rPr>
          <w:lang w:val="en-US"/>
        </w:rPr>
      </w:pPr>
      <w:r w:rsidRPr="00213C0D">
        <w:rPr>
          <w:lang w:val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0"/>
        <w:gridCol w:w="2281"/>
        <w:gridCol w:w="14"/>
        <w:gridCol w:w="1653"/>
      </w:tblGrid>
      <w:tr w:rsidR="002E3FED" w:rsidRPr="00BA3E23" w:rsidTr="00D225A3">
        <w:tc>
          <w:tcPr>
            <w:tcW w:w="7621" w:type="dxa"/>
            <w:gridSpan w:val="2"/>
          </w:tcPr>
          <w:p w:rsidR="002E3FED" w:rsidRDefault="002E3FED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2E3FED" w:rsidRPr="00D3536A" w:rsidRDefault="002E3FED" w:rsidP="00D225A3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3536A">
              <w:rPr>
                <w:rFonts w:cs="Times New Roman"/>
                <w:b/>
                <w:sz w:val="24"/>
                <w:szCs w:val="24"/>
                <w:lang w:val="en-US"/>
              </w:rPr>
              <w:t>IV. Gas chromatography (GC)</w:t>
            </w:r>
          </w:p>
          <w:p w:rsidR="002E3FED" w:rsidRPr="00BA3E23" w:rsidRDefault="002E3FED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gridSpan w:val="2"/>
          </w:tcPr>
          <w:p w:rsidR="002E3FED" w:rsidRDefault="00442B5E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Week</w:t>
            </w:r>
          </w:p>
        </w:tc>
      </w:tr>
      <w:tr w:rsidR="002E3FED" w:rsidRPr="00145B89" w:rsidTr="00D225A3">
        <w:tc>
          <w:tcPr>
            <w:tcW w:w="7621" w:type="dxa"/>
            <w:gridSpan w:val="2"/>
          </w:tcPr>
          <w:p w:rsidR="002E3FED" w:rsidRPr="00BA3E23" w:rsidRDefault="002E3FED" w:rsidP="00147E0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Training will cover:</w:t>
            </w:r>
          </w:p>
          <w:p w:rsidR="002E3FED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Principles of </w:t>
            </w:r>
            <w:r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gas 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chromatograph</w:t>
            </w:r>
            <w:r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y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. Main components of the Agilent GC 6920 system: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autosampler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, injection port, capillary column, column oven, FID detector.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Type of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analytes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suitable for GC analysis. Purity of reagents, purity of working gases.</w:t>
            </w:r>
            <w:r w:rsidRPr="00BA3E23">
              <w:rPr>
                <w:rFonts w:cs="Times New Roman"/>
                <w:sz w:val="24"/>
                <w:szCs w:val="24"/>
                <w:lang w:val="en-US"/>
              </w:rPr>
              <w:br/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Agilent software (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Chemstation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) for GC method. 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Work</w:t>
            </w:r>
            <w:r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ing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 with gas chromatography. Selection of determination parameters, programming of GC </w:t>
            </w:r>
            <w:proofErr w:type="spellStart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autosampler</w:t>
            </w:r>
            <w:proofErr w:type="spellEnd"/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. Ensuring optimal working conditions of the column, preparation and cleaning of the capillary column. Safety rules while working with capillary column, injection port and column oven.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The most common problems with GC system. Troubleshooting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>Basic principles of LLE extraction and preparation of samples for GC analysis</w:t>
            </w:r>
          </w:p>
          <w:p w:rsidR="002E3FED" w:rsidRPr="00BA3E23" w:rsidRDefault="002E3FED" w:rsidP="00147E09">
            <w:pPr>
              <w:jc w:val="both"/>
              <w:rPr>
                <w:rStyle w:val="tlid-translation"/>
                <w:rFonts w:cs="Times New Roman"/>
                <w:sz w:val="24"/>
                <w:szCs w:val="24"/>
                <w:lang w:val="en-US"/>
              </w:rPr>
            </w:pPr>
          </w:p>
          <w:p w:rsidR="002E3FED" w:rsidRPr="00BA3E23" w:rsidRDefault="002E3FED" w:rsidP="00147E0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BA3E23">
              <w:rPr>
                <w:rFonts w:cs="Times New Roman"/>
                <w:sz w:val="24"/>
                <w:szCs w:val="24"/>
                <w:lang w:val="en-US"/>
              </w:rPr>
              <w:t>Analysis and i</w:t>
            </w:r>
            <w:r w:rsidRPr="00BA3E23">
              <w:rPr>
                <w:rStyle w:val="tlid-translation"/>
                <w:rFonts w:cs="Times New Roman"/>
                <w:sz w:val="24"/>
                <w:szCs w:val="24"/>
                <w:lang w:val="en-US"/>
              </w:rPr>
              <w:t xml:space="preserve">nterpretation </w:t>
            </w:r>
            <w:r w:rsidRPr="00BA3E23">
              <w:rPr>
                <w:rFonts w:cs="Times New Roman"/>
                <w:sz w:val="24"/>
                <w:szCs w:val="24"/>
                <w:lang w:val="en-US"/>
              </w:rPr>
              <w:t>of the results</w:t>
            </w:r>
          </w:p>
        </w:tc>
        <w:tc>
          <w:tcPr>
            <w:tcW w:w="1667" w:type="dxa"/>
            <w:gridSpan w:val="2"/>
          </w:tcPr>
          <w:p w:rsidR="002E3FED" w:rsidRPr="00442B5E" w:rsidRDefault="00442B5E" w:rsidP="00D225A3">
            <w:pPr>
              <w:jc w:val="both"/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</w:pPr>
            <w:r w:rsidRPr="00442B5E">
              <w:rPr>
                <w:rFonts w:cs="Times New Roman"/>
                <w:b/>
                <w:sz w:val="44"/>
                <w:szCs w:val="44"/>
                <w:u w:val="single"/>
                <w:lang w:val="en-US"/>
              </w:rPr>
              <w:t>7-8</w:t>
            </w:r>
          </w:p>
          <w:p w:rsidR="00442B5E" w:rsidRDefault="00442B5E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442B5E" w:rsidRPr="00442B5E" w:rsidRDefault="00442B5E" w:rsidP="00D225A3">
            <w:pPr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442B5E">
              <w:rPr>
                <w:rFonts w:cs="Times New Roman"/>
                <w:i/>
                <w:sz w:val="24"/>
                <w:szCs w:val="24"/>
                <w:lang w:val="en-US"/>
              </w:rPr>
              <w:t>(26.08.2019-6.09.2019)</w:t>
            </w:r>
          </w:p>
        </w:tc>
      </w:tr>
      <w:tr w:rsidR="00D225A3" w:rsidTr="00D225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340" w:type="dxa"/>
          <w:trHeight w:val="720"/>
        </w:trPr>
        <w:tc>
          <w:tcPr>
            <w:tcW w:w="2295" w:type="dxa"/>
            <w:gridSpan w:val="2"/>
          </w:tcPr>
          <w:p w:rsidR="00D225A3" w:rsidRDefault="00D225A3" w:rsidP="00D225A3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D225A3">
              <w:rPr>
                <w:i/>
                <w:u w:val="single"/>
                <w:lang w:val="en-US"/>
              </w:rPr>
              <w:t>expected hours to be implemented</w:t>
            </w:r>
          </w:p>
        </w:tc>
        <w:tc>
          <w:tcPr>
            <w:tcW w:w="1653" w:type="dxa"/>
          </w:tcPr>
          <w:p w:rsidR="00D225A3" w:rsidRPr="00D225A3" w:rsidRDefault="00D225A3" w:rsidP="00D225A3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225A3">
              <w:rPr>
                <w:rFonts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</w:tbl>
    <w:p w:rsidR="007D0882" w:rsidRPr="00BA3E23" w:rsidRDefault="007D0882" w:rsidP="00213C0D">
      <w:pPr>
        <w:jc w:val="both"/>
        <w:rPr>
          <w:rFonts w:cs="Times New Roman"/>
          <w:sz w:val="24"/>
          <w:szCs w:val="24"/>
          <w:lang w:val="en-US"/>
        </w:rPr>
      </w:pPr>
    </w:p>
    <w:sectPr w:rsidR="007D0882" w:rsidRPr="00BA3E23" w:rsidSect="0044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373"/>
    <w:multiLevelType w:val="hybridMultilevel"/>
    <w:tmpl w:val="F5FED1E0"/>
    <w:lvl w:ilvl="0" w:tplc="8F5053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4"/>
    <w:rsid w:val="00012B1E"/>
    <w:rsid w:val="000174CB"/>
    <w:rsid w:val="0003479D"/>
    <w:rsid w:val="00073655"/>
    <w:rsid w:val="00074DE9"/>
    <w:rsid w:val="00084F3D"/>
    <w:rsid w:val="00093494"/>
    <w:rsid w:val="0009559F"/>
    <w:rsid w:val="000A22BD"/>
    <w:rsid w:val="000E35A5"/>
    <w:rsid w:val="000F3519"/>
    <w:rsid w:val="0010789C"/>
    <w:rsid w:val="00112BEE"/>
    <w:rsid w:val="00116054"/>
    <w:rsid w:val="00120CB5"/>
    <w:rsid w:val="00145B89"/>
    <w:rsid w:val="0014640B"/>
    <w:rsid w:val="00147E09"/>
    <w:rsid w:val="00161013"/>
    <w:rsid w:val="001766D9"/>
    <w:rsid w:val="0018243E"/>
    <w:rsid w:val="001A7BD7"/>
    <w:rsid w:val="001C759B"/>
    <w:rsid w:val="00213C0D"/>
    <w:rsid w:val="00217558"/>
    <w:rsid w:val="0022128B"/>
    <w:rsid w:val="002250F7"/>
    <w:rsid w:val="0023049D"/>
    <w:rsid w:val="00250654"/>
    <w:rsid w:val="0025316B"/>
    <w:rsid w:val="0026127D"/>
    <w:rsid w:val="00262613"/>
    <w:rsid w:val="00273F6B"/>
    <w:rsid w:val="00285816"/>
    <w:rsid w:val="00286BBB"/>
    <w:rsid w:val="00287455"/>
    <w:rsid w:val="002E0337"/>
    <w:rsid w:val="002E3FED"/>
    <w:rsid w:val="002F36B9"/>
    <w:rsid w:val="002F6609"/>
    <w:rsid w:val="00301F95"/>
    <w:rsid w:val="0030357C"/>
    <w:rsid w:val="003128FB"/>
    <w:rsid w:val="00314791"/>
    <w:rsid w:val="0034393B"/>
    <w:rsid w:val="00355D01"/>
    <w:rsid w:val="00355DA2"/>
    <w:rsid w:val="00367707"/>
    <w:rsid w:val="0037125F"/>
    <w:rsid w:val="003A091F"/>
    <w:rsid w:val="003A78C6"/>
    <w:rsid w:val="003C3D3C"/>
    <w:rsid w:val="003E3808"/>
    <w:rsid w:val="003F09AD"/>
    <w:rsid w:val="003F76D8"/>
    <w:rsid w:val="00417B92"/>
    <w:rsid w:val="004224FD"/>
    <w:rsid w:val="004379B8"/>
    <w:rsid w:val="00442B5E"/>
    <w:rsid w:val="004577D6"/>
    <w:rsid w:val="00480ECC"/>
    <w:rsid w:val="004870D0"/>
    <w:rsid w:val="00495F56"/>
    <w:rsid w:val="004C7B76"/>
    <w:rsid w:val="00530CA8"/>
    <w:rsid w:val="0054078B"/>
    <w:rsid w:val="00543F6E"/>
    <w:rsid w:val="00552984"/>
    <w:rsid w:val="005617AC"/>
    <w:rsid w:val="00561DD9"/>
    <w:rsid w:val="0056231B"/>
    <w:rsid w:val="00576A79"/>
    <w:rsid w:val="005835A6"/>
    <w:rsid w:val="00584BFD"/>
    <w:rsid w:val="005906EC"/>
    <w:rsid w:val="005B3D8F"/>
    <w:rsid w:val="005E07DE"/>
    <w:rsid w:val="005E148F"/>
    <w:rsid w:val="00611FCB"/>
    <w:rsid w:val="00651FDD"/>
    <w:rsid w:val="00667A41"/>
    <w:rsid w:val="00685205"/>
    <w:rsid w:val="00690044"/>
    <w:rsid w:val="006A29E6"/>
    <w:rsid w:val="006A6EE6"/>
    <w:rsid w:val="006A7BEC"/>
    <w:rsid w:val="006B5845"/>
    <w:rsid w:val="006C7113"/>
    <w:rsid w:val="006E03C1"/>
    <w:rsid w:val="006F5F2E"/>
    <w:rsid w:val="00701510"/>
    <w:rsid w:val="00703FA7"/>
    <w:rsid w:val="00716B83"/>
    <w:rsid w:val="007404A5"/>
    <w:rsid w:val="0074444D"/>
    <w:rsid w:val="0075593C"/>
    <w:rsid w:val="00755C6E"/>
    <w:rsid w:val="00773FB7"/>
    <w:rsid w:val="00784842"/>
    <w:rsid w:val="007A074F"/>
    <w:rsid w:val="007A6FBB"/>
    <w:rsid w:val="007D0882"/>
    <w:rsid w:val="00832CBD"/>
    <w:rsid w:val="00850918"/>
    <w:rsid w:val="00862EDA"/>
    <w:rsid w:val="008810BB"/>
    <w:rsid w:val="00883EE8"/>
    <w:rsid w:val="00897B86"/>
    <w:rsid w:val="008E71C4"/>
    <w:rsid w:val="009001E9"/>
    <w:rsid w:val="009143AF"/>
    <w:rsid w:val="0093562D"/>
    <w:rsid w:val="009369B9"/>
    <w:rsid w:val="00943E81"/>
    <w:rsid w:val="00952992"/>
    <w:rsid w:val="00963B38"/>
    <w:rsid w:val="00967F4C"/>
    <w:rsid w:val="009727FC"/>
    <w:rsid w:val="0097287E"/>
    <w:rsid w:val="00975455"/>
    <w:rsid w:val="00980266"/>
    <w:rsid w:val="00993279"/>
    <w:rsid w:val="009951B7"/>
    <w:rsid w:val="009B5FB6"/>
    <w:rsid w:val="009F5941"/>
    <w:rsid w:val="009F6642"/>
    <w:rsid w:val="00A06EF1"/>
    <w:rsid w:val="00A314ED"/>
    <w:rsid w:val="00A32AC4"/>
    <w:rsid w:val="00A43D84"/>
    <w:rsid w:val="00A44EE7"/>
    <w:rsid w:val="00A57A68"/>
    <w:rsid w:val="00A77AD8"/>
    <w:rsid w:val="00A864F8"/>
    <w:rsid w:val="00A97819"/>
    <w:rsid w:val="00AB2AC7"/>
    <w:rsid w:val="00AF44EB"/>
    <w:rsid w:val="00AF7EFC"/>
    <w:rsid w:val="00B0371C"/>
    <w:rsid w:val="00B03FD3"/>
    <w:rsid w:val="00B258F9"/>
    <w:rsid w:val="00B33BA7"/>
    <w:rsid w:val="00B54C4A"/>
    <w:rsid w:val="00BA087B"/>
    <w:rsid w:val="00BA3E23"/>
    <w:rsid w:val="00BB5895"/>
    <w:rsid w:val="00BB66F8"/>
    <w:rsid w:val="00BD27C9"/>
    <w:rsid w:val="00C31CC3"/>
    <w:rsid w:val="00C40CA6"/>
    <w:rsid w:val="00C81E11"/>
    <w:rsid w:val="00C870BF"/>
    <w:rsid w:val="00CC1FC4"/>
    <w:rsid w:val="00D225A3"/>
    <w:rsid w:val="00D27B67"/>
    <w:rsid w:val="00D3536A"/>
    <w:rsid w:val="00D40DFC"/>
    <w:rsid w:val="00D53620"/>
    <w:rsid w:val="00D54D10"/>
    <w:rsid w:val="00D64DAF"/>
    <w:rsid w:val="00DA05E9"/>
    <w:rsid w:val="00DD0EA1"/>
    <w:rsid w:val="00DD323C"/>
    <w:rsid w:val="00DE3B99"/>
    <w:rsid w:val="00DF682B"/>
    <w:rsid w:val="00E10D28"/>
    <w:rsid w:val="00E67790"/>
    <w:rsid w:val="00EA1D28"/>
    <w:rsid w:val="00EB4CA4"/>
    <w:rsid w:val="00EC1C12"/>
    <w:rsid w:val="00ED6AB0"/>
    <w:rsid w:val="00EF08AD"/>
    <w:rsid w:val="00F464E6"/>
    <w:rsid w:val="00F96629"/>
    <w:rsid w:val="00FA3127"/>
    <w:rsid w:val="00FB65E1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093494"/>
  </w:style>
  <w:style w:type="character" w:styleId="Pogrubienie">
    <w:name w:val="Strong"/>
    <w:basedOn w:val="Domylnaczcionkaakapitu"/>
    <w:uiPriority w:val="22"/>
    <w:qFormat/>
    <w:rsid w:val="003035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29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27"/>
    <w:pPr>
      <w:ind w:left="720"/>
      <w:contextualSpacing/>
    </w:pPr>
  </w:style>
  <w:style w:type="table" w:styleId="Tabela-Siatka">
    <w:name w:val="Table Grid"/>
    <w:basedOn w:val="Standardowy"/>
    <w:uiPriority w:val="59"/>
    <w:rsid w:val="005E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093494"/>
  </w:style>
  <w:style w:type="character" w:styleId="Pogrubienie">
    <w:name w:val="Strong"/>
    <w:basedOn w:val="Domylnaczcionkaakapitu"/>
    <w:uiPriority w:val="22"/>
    <w:qFormat/>
    <w:rsid w:val="003035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29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27"/>
    <w:pPr>
      <w:ind w:left="720"/>
      <w:contextualSpacing/>
    </w:pPr>
  </w:style>
  <w:style w:type="table" w:styleId="Tabela-Siatka">
    <w:name w:val="Table Grid"/>
    <w:basedOn w:val="Standardowy"/>
    <w:uiPriority w:val="59"/>
    <w:rsid w:val="005E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B242-3315-46F2-8416-BCE4E05F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</dc:creator>
  <cp:lastModifiedBy>Anastasiia Halaiko</cp:lastModifiedBy>
  <cp:revision>2</cp:revision>
  <cp:lastPrinted>2019-03-14T10:07:00Z</cp:lastPrinted>
  <dcterms:created xsi:type="dcterms:W3CDTF">2019-03-14T11:10:00Z</dcterms:created>
  <dcterms:modified xsi:type="dcterms:W3CDTF">2019-03-14T11:10:00Z</dcterms:modified>
</cp:coreProperties>
</file>